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8BF2" w14:textId="39931C0F" w:rsidR="000F410B" w:rsidRPr="00341957" w:rsidRDefault="000C6568" w:rsidP="000F410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34195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</w:t>
      </w:r>
      <w:r w:rsidR="00C83737" w:rsidRPr="0034195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anevas pour les </w:t>
      </w:r>
      <w:r w:rsidR="00C83737" w:rsidRPr="00341957">
        <w:rPr>
          <w:rFonts w:ascii="Times New Roman" w:hAnsi="Times New Roman" w:cs="Times New Roman"/>
          <w:b/>
          <w:bCs/>
          <w:sz w:val="28"/>
          <w:szCs w:val="28"/>
          <w:lang w:val="fr-FR"/>
        </w:rPr>
        <w:t>Rapports d’</w:t>
      </w:r>
      <w:r w:rsidR="00C83737" w:rsidRPr="0034195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études de </w:t>
      </w:r>
      <w:proofErr w:type="spellStart"/>
      <w:r w:rsidR="00C83737" w:rsidRPr="0034195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pré</w:t>
      </w:r>
      <w:r w:rsidR="0096691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-</w:t>
      </w:r>
      <w:r w:rsidR="00C83737" w:rsidRPr="0034195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faisabilité</w:t>
      </w:r>
      <w:proofErr w:type="spellEnd"/>
    </w:p>
    <w:p w14:paraId="6855A58E" w14:textId="47284366" w:rsidR="0077462E" w:rsidRPr="00341957" w:rsidRDefault="0077462E" w:rsidP="003F27D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L’étude de </w:t>
      </w:r>
      <w:proofErr w:type="spellStart"/>
      <w:r w:rsidRPr="00341957">
        <w:rPr>
          <w:rFonts w:ascii="Times New Roman" w:hAnsi="Times New Roman" w:cs="Times New Roman"/>
          <w:sz w:val="24"/>
          <w:szCs w:val="24"/>
          <w:lang w:val="fr-FR"/>
        </w:rPr>
        <w:t>pré</w:t>
      </w:r>
      <w:r w:rsidR="00966917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faisabilité</w:t>
      </w:r>
      <w:proofErr w:type="spellEnd"/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ou de cadrage </w:t>
      </w:r>
      <w:r w:rsidR="00BD4267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constitue une analyse préliminaire d’un projet minier potentiel pour déterminer si </w:t>
      </w:r>
      <w:r w:rsidR="00765BD5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un projet d’exploitation est </w:t>
      </w:r>
      <w:r w:rsidR="00BD4267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viable. Elle </w:t>
      </w:r>
      <w:r w:rsidR="00966917">
        <w:rPr>
          <w:rFonts w:ascii="Times New Roman" w:hAnsi="Times New Roman" w:cs="Times New Roman"/>
          <w:sz w:val="24"/>
          <w:szCs w:val="24"/>
          <w:lang w:val="fr-FR"/>
        </w:rPr>
        <w:t>a pour objet de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déterminer</w:t>
      </w:r>
      <w:r w:rsidR="00765BD5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l’existence d’une réserve exploitable</w:t>
      </w:r>
      <w:r w:rsidR="006F114D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les méthodes d’extraction et de traitement</w:t>
      </w:r>
      <w:r w:rsidR="00896264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d’un projet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B51ACE" w:rsidRPr="00341957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es coûts en capital</w:t>
      </w:r>
      <w:r w:rsidR="00C67804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et opérationnels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B51ACE" w:rsidRPr="00341957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 w:rsidR="00BD4267" w:rsidRPr="00341957">
        <w:rPr>
          <w:rFonts w:ascii="Times New Roman" w:hAnsi="Times New Roman" w:cs="Times New Roman"/>
          <w:sz w:val="24"/>
          <w:szCs w:val="24"/>
          <w:lang w:val="fr-FR"/>
        </w:rPr>
        <w:t>rentabilité</w:t>
      </w:r>
      <w:r w:rsidR="00C67804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D4267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prévisionnelle </w:t>
      </w:r>
      <w:r w:rsidR="00C67804" w:rsidRPr="00341957"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valeur actuelle nette, le taux de rendement interne</w:t>
      </w:r>
      <w:r w:rsidR="00BD4267" w:rsidRPr="00341957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966917">
        <w:rPr>
          <w:rFonts w:ascii="Times New Roman" w:hAnsi="Times New Roman" w:cs="Times New Roman"/>
          <w:sz w:val="24"/>
          <w:szCs w:val="24"/>
          <w:lang w:val="fr-FR"/>
        </w:rPr>
        <w:t xml:space="preserve">entres </w:t>
      </w:r>
      <w:r w:rsidR="00A517C7" w:rsidRPr="00341957">
        <w:rPr>
          <w:rFonts w:ascii="Times New Roman" w:hAnsi="Times New Roman" w:cs="Times New Roman"/>
          <w:sz w:val="24"/>
          <w:szCs w:val="24"/>
          <w:lang w:val="fr-FR"/>
        </w:rPr>
        <w:t>autres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, tout en traitant des questions plus vastes telles qu</w:t>
      </w:r>
      <w:r w:rsidR="00966917">
        <w:rPr>
          <w:rFonts w:ascii="Times New Roman" w:hAnsi="Times New Roman" w:cs="Times New Roman"/>
          <w:sz w:val="24"/>
          <w:szCs w:val="24"/>
          <w:lang w:val="fr-FR"/>
        </w:rPr>
        <w:t>e l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'évaluation environnementale, l'engagement de la communauté locale, les exigences légales et les autorisations nécessaires</w:t>
      </w:r>
      <w:r w:rsidR="00A517C7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au développement du projet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8BD3737" w14:textId="02964D2B" w:rsidR="0077462E" w:rsidRPr="00341957" w:rsidRDefault="0077462E" w:rsidP="003F27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Les résultats d'une étude de </w:t>
      </w:r>
      <w:proofErr w:type="spellStart"/>
      <w:r w:rsidRPr="00341957">
        <w:rPr>
          <w:rFonts w:ascii="Times New Roman" w:hAnsi="Times New Roman" w:cs="Times New Roman"/>
          <w:sz w:val="24"/>
          <w:szCs w:val="24"/>
          <w:lang w:val="fr-FR"/>
        </w:rPr>
        <w:t>pré</w:t>
      </w:r>
      <w:r w:rsidR="00966917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faisabilité</w:t>
      </w:r>
      <w:proofErr w:type="spellEnd"/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constituent les premières informations concrètes sur un projet minier. Ils </w:t>
      </w:r>
      <w:r w:rsidR="000F41D6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doivent </w:t>
      </w:r>
      <w:r w:rsidR="00833F11" w:rsidRPr="00341957">
        <w:rPr>
          <w:rFonts w:ascii="Times New Roman" w:hAnsi="Times New Roman" w:cs="Times New Roman"/>
          <w:sz w:val="24"/>
          <w:szCs w:val="24"/>
          <w:lang w:val="fr-FR"/>
        </w:rPr>
        <w:t>mettre en exergue les quatre critères suivants :</w:t>
      </w:r>
    </w:p>
    <w:p w14:paraId="4DFC11C5" w14:textId="3BDF9F02" w:rsidR="0077462E" w:rsidRPr="00341957" w:rsidRDefault="0077462E" w:rsidP="00C5599B">
      <w:pPr>
        <w:pStyle w:val="ListParagraph"/>
        <w:numPr>
          <w:ilvl w:val="0"/>
          <w:numId w:val="2"/>
        </w:numPr>
        <w:ind w:left="-270" w:hanging="27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Cs/>
          <w:sz w:val="24"/>
          <w:szCs w:val="24"/>
          <w:lang w:val="fr-FR"/>
        </w:rPr>
        <w:t>La</w:t>
      </w:r>
      <w:r w:rsidRPr="0034195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966917">
        <w:rPr>
          <w:rFonts w:ascii="Times New Roman" w:hAnsi="Times New Roman" w:cs="Times New Roman"/>
          <w:sz w:val="24"/>
          <w:szCs w:val="24"/>
          <w:lang w:val="fr-FR"/>
        </w:rPr>
        <w:t>pré-faisabilité</w:t>
      </w:r>
      <w:proofErr w:type="spellEnd"/>
      <w:r w:rsidR="005F5249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33F11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au point de vue </w:t>
      </w:r>
      <w:r w:rsidRPr="0034195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géologique </w:t>
      </w:r>
      <w:r w:rsidR="00833F11" w:rsidRPr="00341957">
        <w:rPr>
          <w:rFonts w:ascii="Times New Roman" w:hAnsi="Times New Roman" w:cs="Times New Roman"/>
          <w:bCs/>
          <w:sz w:val="24"/>
          <w:szCs w:val="24"/>
          <w:lang w:val="fr-FR"/>
        </w:rPr>
        <w:t>et ressource en donnant</w:t>
      </w:r>
      <w:r w:rsidR="00833F11" w:rsidRPr="0034195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une estimation préliminaire des réserves </w:t>
      </w:r>
      <w:proofErr w:type="gramStart"/>
      <w:r w:rsidR="00833F11" w:rsidRPr="00341957">
        <w:rPr>
          <w:rFonts w:ascii="Times New Roman" w:hAnsi="Times New Roman" w:cs="Times New Roman"/>
          <w:sz w:val="24"/>
          <w:szCs w:val="24"/>
          <w:lang w:val="fr-FR"/>
        </w:rPr>
        <w:t>en terme de</w:t>
      </w:r>
      <w:proofErr w:type="gramEnd"/>
      <w:r w:rsidR="00833F11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qualité et de quantité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, ainsi que </w:t>
      </w:r>
      <w:r w:rsidR="00966917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potentiel de minéralisation supplémentaire, indiquant la teneur moyenne de la ressource et la quantité pouvant être extraite sur une période spécifiée.</w:t>
      </w:r>
      <w:r w:rsidR="00530034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Les estimations de</w:t>
      </w:r>
      <w:r w:rsidR="00966917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530034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ressources ne doivent être prises en compte que si elles respectent les normes internationales définies par JORC (http://www.jorc.org/) ou des normes équivalentes.</w:t>
      </w:r>
      <w:r w:rsidR="000F41D6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L’étude devrait faire ressortir </w:t>
      </w:r>
      <w:r w:rsidR="00FF3058" w:rsidRPr="00341957">
        <w:rPr>
          <w:rFonts w:ascii="Times New Roman" w:hAnsi="Times New Roman" w:cs="Times New Roman"/>
          <w:sz w:val="24"/>
          <w:szCs w:val="24"/>
          <w:lang w:val="fr-FR"/>
        </w:rPr>
        <w:t>que la réserve est exploitable et est au-dessus du</w:t>
      </w:r>
      <w:r w:rsidR="000F41D6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seuil d’exploitabilité </w:t>
      </w:r>
    </w:p>
    <w:p w14:paraId="0EBBE346" w14:textId="77777777" w:rsidR="005342BC" w:rsidRPr="00341957" w:rsidRDefault="005342BC" w:rsidP="005342B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00C5272" w14:textId="13B4C63D" w:rsidR="00AC7809" w:rsidRPr="00341957" w:rsidRDefault="0077462E" w:rsidP="00C5599B">
      <w:pPr>
        <w:pStyle w:val="ListParagraph"/>
        <w:numPr>
          <w:ilvl w:val="0"/>
          <w:numId w:val="2"/>
        </w:numPr>
        <w:ind w:left="-270" w:hanging="270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La </w:t>
      </w:r>
      <w:proofErr w:type="spellStart"/>
      <w:r w:rsidR="00966917">
        <w:rPr>
          <w:rFonts w:ascii="Times New Roman" w:hAnsi="Times New Roman" w:cs="Times New Roman"/>
          <w:bCs/>
          <w:sz w:val="24"/>
          <w:szCs w:val="24"/>
          <w:lang w:val="fr-FR"/>
        </w:rPr>
        <w:t>pré-faisabilité</w:t>
      </w:r>
      <w:proofErr w:type="spellEnd"/>
      <w:r w:rsidR="005F5249" w:rsidRPr="0034195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341957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technique</w:t>
      </w:r>
      <w:r w:rsidR="005415BA" w:rsidRPr="00341957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 xml:space="preserve"> </w:t>
      </w:r>
      <w:r w:rsidR="00833F11" w:rsidRPr="00341957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et opérationnelle</w:t>
      </w:r>
      <w:r w:rsidR="00833F11" w:rsidRPr="0096691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341957">
        <w:rPr>
          <w:rFonts w:ascii="Times New Roman" w:hAnsi="Times New Roman" w:cs="Times New Roman"/>
          <w:bCs/>
          <w:sz w:val="24"/>
          <w:szCs w:val="24"/>
          <w:lang w:val="fr-FR"/>
        </w:rPr>
        <w:t>sélectionne</w:t>
      </w:r>
      <w:r w:rsidR="000F6377" w:rsidRPr="0034195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la technique optimale pour </w:t>
      </w:r>
      <w:r w:rsidR="00746906" w:rsidRPr="00341957">
        <w:rPr>
          <w:rFonts w:ascii="Times New Roman" w:hAnsi="Times New Roman" w:cs="Times New Roman"/>
          <w:bCs/>
          <w:sz w:val="24"/>
          <w:szCs w:val="24"/>
          <w:lang w:val="fr-FR"/>
        </w:rPr>
        <w:t>récupérer</w:t>
      </w:r>
      <w:r w:rsidR="000F6377" w:rsidRPr="0034195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le produit minier,</w:t>
      </w:r>
      <w:r w:rsidRPr="0034195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parmi un certain nombre de procédés miniers et des voies de traitement. Elle détermine</w:t>
      </w:r>
      <w:r w:rsidR="00AC7809" w:rsidRPr="00341957">
        <w:rPr>
          <w:rFonts w:ascii="Times New Roman" w:hAnsi="Times New Roman" w:cs="Times New Roman"/>
          <w:bCs/>
          <w:sz w:val="24"/>
          <w:szCs w:val="24"/>
          <w:lang w:val="fr-FR"/>
        </w:rPr>
        <w:t> :</w:t>
      </w:r>
    </w:p>
    <w:p w14:paraId="1BCBFFE8" w14:textId="77777777" w:rsidR="00746906" w:rsidRPr="00341957" w:rsidRDefault="00746906" w:rsidP="00C55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Les différentes phases du projet</w:t>
      </w:r>
    </w:p>
    <w:p w14:paraId="034182C4" w14:textId="1F4E597E" w:rsidR="00AC7809" w:rsidRPr="00341957" w:rsidRDefault="00AC7809" w:rsidP="00C55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L’emplacement du projet. </w:t>
      </w:r>
    </w:p>
    <w:p w14:paraId="1A6130F1" w14:textId="13C8390E" w:rsidR="00AC7809" w:rsidRPr="00341957" w:rsidRDefault="00AC7809" w:rsidP="00C55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77462E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méthode d'extraction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77462E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FC68451" w14:textId="2F0FD9EB" w:rsidR="00AC7809" w:rsidRPr="00341957" w:rsidRDefault="00AC7809" w:rsidP="00C55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77462E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séquence de</w:t>
      </w:r>
      <w:r w:rsidR="002C5246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s opérations de </w:t>
      </w:r>
      <w:r w:rsidR="008E61F3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production et de </w:t>
      </w:r>
      <w:r w:rsidR="002C5246" w:rsidRPr="00341957">
        <w:rPr>
          <w:rFonts w:ascii="Times New Roman" w:hAnsi="Times New Roman" w:cs="Times New Roman"/>
          <w:sz w:val="24"/>
          <w:szCs w:val="24"/>
          <w:lang w:val="fr-FR"/>
        </w:rPr>
        <w:t>traitement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80B2796" w14:textId="77777777" w:rsidR="008E61F3" w:rsidRPr="00341957" w:rsidRDefault="008E61F3" w:rsidP="00C55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La planification de la production ainsi que les processus opérationnels et procédés à mettre en œuvre. </w:t>
      </w:r>
    </w:p>
    <w:p w14:paraId="23F24900" w14:textId="77777777" w:rsidR="00AC7809" w:rsidRPr="00341957" w:rsidRDefault="00AC7809" w:rsidP="00C55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77462E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a capacité de production de la mine, basée sur le corps minéralisé évalué par les géologues. </w:t>
      </w:r>
    </w:p>
    <w:p w14:paraId="004EBFE0" w14:textId="79D41DFA" w:rsidR="000A1055" w:rsidRPr="00341957" w:rsidRDefault="00AC7809" w:rsidP="00C55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Les</w:t>
      </w:r>
      <w:r w:rsidR="0077462E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équipements et services nécessaires</w:t>
      </w:r>
      <w:r w:rsidR="000A1055" w:rsidRPr="003419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8AF30F8" w14:textId="18E73B21" w:rsidR="000A1055" w:rsidRPr="00341957" w:rsidRDefault="000A1055" w:rsidP="00C55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Les</w:t>
      </w:r>
      <w:r w:rsidR="0077462E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bâtiments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et</w:t>
      </w:r>
      <w:r w:rsidR="0077462E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zones de stockage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77462E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778934A" w14:textId="26B553F1" w:rsidR="0077462E" w:rsidRPr="00341957" w:rsidRDefault="000A1055" w:rsidP="00C55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77462E" w:rsidRPr="00341957">
        <w:rPr>
          <w:rFonts w:ascii="Times New Roman" w:hAnsi="Times New Roman" w:cs="Times New Roman"/>
          <w:sz w:val="24"/>
          <w:szCs w:val="24"/>
          <w:lang w:val="fr-FR"/>
        </w:rPr>
        <w:t>es routes</w:t>
      </w:r>
      <w:r w:rsidR="00025AF2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et autres voies d’écoulement</w:t>
      </w:r>
      <w:r w:rsidR="0077462E" w:rsidRPr="003419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3BCDF67" w14:textId="77777777" w:rsidR="008E61F3" w:rsidRPr="00341957" w:rsidRDefault="008E61F3" w:rsidP="00C55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Le calendrier prévisionnel de développement du projet.</w:t>
      </w:r>
    </w:p>
    <w:p w14:paraId="2FD36A01" w14:textId="77777777" w:rsidR="008E61F3" w:rsidRPr="00341957" w:rsidRDefault="008E61F3" w:rsidP="00C55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La période nécessaire à l’obtention des approbations nécessaires.</w:t>
      </w:r>
    </w:p>
    <w:p w14:paraId="5C967E4E" w14:textId="77777777" w:rsidR="008E61F3" w:rsidRPr="00341957" w:rsidRDefault="008E61F3" w:rsidP="00C55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La période de construction (y compris de l’infrastructure).</w:t>
      </w:r>
    </w:p>
    <w:p w14:paraId="14785D4A" w14:textId="77777777" w:rsidR="008E61F3" w:rsidRPr="00341957" w:rsidRDefault="008E61F3" w:rsidP="00C55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La date de démarrage de production et la durée de vie de la mine.</w:t>
      </w:r>
    </w:p>
    <w:p w14:paraId="1562001F" w14:textId="66EBBA5D" w:rsidR="008E61F3" w:rsidRPr="00341957" w:rsidRDefault="008E61F3" w:rsidP="00C55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La fermeture de la mine et la réhabilitation des terrains.</w:t>
      </w:r>
    </w:p>
    <w:p w14:paraId="7C596B22" w14:textId="072ED61C" w:rsidR="00765BD5" w:rsidRPr="00341957" w:rsidRDefault="00966917" w:rsidP="00C55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</w:t>
      </w:r>
      <w:r w:rsidR="00765BD5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ressource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765BD5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en eau et l’évaluation des besoins y afférents.</w:t>
      </w:r>
    </w:p>
    <w:p w14:paraId="72ACFB67" w14:textId="77777777" w:rsidR="005342BC" w:rsidRPr="00341957" w:rsidRDefault="005342BC" w:rsidP="005342B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1C4E302" w14:textId="5A8E9F34" w:rsidR="00FF22EE" w:rsidRPr="00341957" w:rsidRDefault="0077462E" w:rsidP="00C5599B">
      <w:pPr>
        <w:pStyle w:val="ListParagraph"/>
        <w:numPr>
          <w:ilvl w:val="0"/>
          <w:numId w:val="2"/>
        </w:numPr>
        <w:ind w:left="-270" w:hanging="270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Cs/>
          <w:sz w:val="24"/>
          <w:szCs w:val="24"/>
          <w:lang w:val="fr-FR"/>
        </w:rPr>
        <w:lastRenderedPageBreak/>
        <w:t xml:space="preserve">La </w:t>
      </w:r>
      <w:proofErr w:type="spellStart"/>
      <w:r w:rsidR="00966917">
        <w:rPr>
          <w:rFonts w:ascii="Times New Roman" w:hAnsi="Times New Roman" w:cs="Times New Roman"/>
          <w:bCs/>
          <w:sz w:val="24"/>
          <w:szCs w:val="24"/>
          <w:lang w:val="fr-FR"/>
        </w:rPr>
        <w:t>pré-faisabilité</w:t>
      </w:r>
      <w:proofErr w:type="spellEnd"/>
      <w:r w:rsidR="00A06020" w:rsidRPr="0034195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341957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financière</w:t>
      </w:r>
      <w:r w:rsidR="00554F1A" w:rsidRPr="00341957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 xml:space="preserve"> et économique</w:t>
      </w:r>
      <w:r w:rsidR="00554F1A" w:rsidRPr="0034195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34195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comprend une évaluation des coûts d'investissement et le fonds de roulement </w:t>
      </w:r>
      <w:r w:rsidR="00B90F75" w:rsidRPr="0034195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nécessaire </w:t>
      </w:r>
      <w:r w:rsidRPr="00341957">
        <w:rPr>
          <w:rFonts w:ascii="Times New Roman" w:hAnsi="Times New Roman" w:cs="Times New Roman"/>
          <w:bCs/>
          <w:sz w:val="24"/>
          <w:szCs w:val="24"/>
          <w:lang w:val="fr-FR"/>
        </w:rPr>
        <w:t>pendant la durée de vie de la mine</w:t>
      </w:r>
      <w:r w:rsidR="00B90F75" w:rsidRPr="0034195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r w:rsidR="00554F1A" w:rsidRPr="00341957">
        <w:rPr>
          <w:rFonts w:ascii="Times New Roman" w:hAnsi="Times New Roman" w:cs="Times New Roman"/>
          <w:bCs/>
          <w:sz w:val="24"/>
          <w:szCs w:val="24"/>
          <w:lang w:val="fr-FR"/>
        </w:rPr>
        <w:t>et une étude économique du projet. Ceci comprend les</w:t>
      </w:r>
      <w:r w:rsidRPr="0034195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: </w:t>
      </w:r>
    </w:p>
    <w:p w14:paraId="20C087EE" w14:textId="152B8A48" w:rsidR="00FF22EE" w:rsidRPr="00341957" w:rsidRDefault="0077462E" w:rsidP="00C5599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Coûts en capital (infrastructures, construction, bâtiments, installations, machines, etc.)</w:t>
      </w:r>
      <w:r w:rsidR="00FF22EE" w:rsidRPr="0034195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 </w:t>
      </w:r>
    </w:p>
    <w:p w14:paraId="046561BD" w14:textId="75BC7839" w:rsidR="00037275" w:rsidRPr="00341957" w:rsidRDefault="0077462E" w:rsidP="00C5599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Coûts d'exploitation de la mine</w:t>
      </w:r>
      <w:r w:rsidR="00966917">
        <w:rPr>
          <w:rFonts w:ascii="Times New Roman" w:hAnsi="Times New Roman" w:cs="Times New Roman"/>
          <w:sz w:val="24"/>
          <w:szCs w:val="24"/>
          <w:lang w:val="fr-FR"/>
        </w:rPr>
        <w:t>, y compris les coû</w:t>
      </w:r>
      <w:r w:rsidR="00037275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ts 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d'énergie</w:t>
      </w:r>
      <w:r w:rsidR="00037275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et de 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transport</w:t>
      </w:r>
      <w:r w:rsidR="00037275" w:rsidRPr="0034195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856CFEA" w14:textId="4D5D2C54" w:rsidR="00037275" w:rsidRPr="00341957" w:rsidRDefault="0077462E" w:rsidP="00C5599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Coûts </w:t>
      </w:r>
      <w:r w:rsidR="00F058D4" w:rsidRPr="00341957">
        <w:rPr>
          <w:rFonts w:ascii="Times New Roman" w:hAnsi="Times New Roman" w:cs="Times New Roman"/>
          <w:sz w:val="24"/>
          <w:szCs w:val="24"/>
          <w:lang w:val="fr-FR"/>
        </w:rPr>
        <w:t>sociaux et de protection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et de réhabilitation de l'environnement</w:t>
      </w:r>
      <w:r w:rsidR="00037275" w:rsidRPr="00341957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 </w:t>
      </w:r>
    </w:p>
    <w:p w14:paraId="7A5CC6BC" w14:textId="6CDEE1FE" w:rsidR="00037275" w:rsidRPr="00341957" w:rsidRDefault="00037275" w:rsidP="00C5599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Les t</w:t>
      </w:r>
      <w:r w:rsidR="0077462E" w:rsidRPr="00341957">
        <w:rPr>
          <w:rFonts w:ascii="Times New Roman" w:hAnsi="Times New Roman" w:cs="Times New Roman"/>
          <w:sz w:val="24"/>
          <w:szCs w:val="24"/>
          <w:lang w:val="fr-FR"/>
        </w:rPr>
        <w:t>axes et impôts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058D4" w:rsidRPr="00341957">
        <w:rPr>
          <w:rFonts w:ascii="Times New Roman" w:hAnsi="Times New Roman" w:cs="Times New Roman"/>
          <w:sz w:val="24"/>
          <w:szCs w:val="24"/>
          <w:lang w:val="fr-FR"/>
        </w:rPr>
        <w:t>à payer</w:t>
      </w:r>
      <w:r w:rsidR="0077462E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3629EFF7" w14:textId="2291D896" w:rsidR="00037275" w:rsidRPr="00341957" w:rsidRDefault="00037275" w:rsidP="00C5599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0811C9" w:rsidRPr="00341957">
        <w:rPr>
          <w:rFonts w:ascii="Times New Roman" w:hAnsi="Times New Roman" w:cs="Times New Roman"/>
          <w:sz w:val="24"/>
          <w:szCs w:val="24"/>
          <w:lang w:val="fr-FR"/>
        </w:rPr>
        <w:t>a structure de</w:t>
      </w:r>
      <w:r w:rsidR="0077462E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financement du projet en termes d</w:t>
      </w:r>
      <w:r w:rsidR="000811C9" w:rsidRPr="00341957">
        <w:rPr>
          <w:rFonts w:ascii="Times New Roman" w:hAnsi="Times New Roman" w:cs="Times New Roman"/>
          <w:sz w:val="24"/>
          <w:szCs w:val="24"/>
          <w:lang w:val="fr-FR"/>
        </w:rPr>
        <w:t>’apport en</w:t>
      </w:r>
      <w:r w:rsidR="0077462E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capital</w:t>
      </w:r>
      <w:r w:rsidR="000811C9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et</w:t>
      </w:r>
      <w:r w:rsidR="0077462E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d'endettement. </w:t>
      </w:r>
    </w:p>
    <w:p w14:paraId="7CB5DC75" w14:textId="6AFEABCE" w:rsidR="0077462E" w:rsidRPr="00341957" w:rsidRDefault="00037275" w:rsidP="00C5599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77462E" w:rsidRPr="00341957">
        <w:rPr>
          <w:rFonts w:ascii="Times New Roman" w:hAnsi="Times New Roman" w:cs="Times New Roman"/>
          <w:sz w:val="24"/>
          <w:szCs w:val="24"/>
          <w:lang w:val="fr-FR"/>
        </w:rPr>
        <w:t>modélisation financière avec calcul des flux prévisionnels de trésorerie, l’analyse de la période de récupération de l’investissement et de sa valeur actuelle nette.</w:t>
      </w:r>
    </w:p>
    <w:p w14:paraId="4711EF0D" w14:textId="77777777" w:rsidR="00554F1A" w:rsidRPr="00341957" w:rsidRDefault="00554F1A" w:rsidP="00667C1E">
      <w:pPr>
        <w:ind w:left="-540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0C4E7B58" w14:textId="091ED9F2" w:rsidR="00554F1A" w:rsidRPr="00341957" w:rsidRDefault="00554F1A" w:rsidP="00C5599B">
      <w:pPr>
        <w:pStyle w:val="ListParagraph"/>
        <w:numPr>
          <w:ilvl w:val="0"/>
          <w:numId w:val="2"/>
        </w:numPr>
        <w:ind w:left="-270" w:hanging="270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La </w:t>
      </w:r>
      <w:proofErr w:type="spellStart"/>
      <w:r w:rsidR="00966917">
        <w:rPr>
          <w:rFonts w:ascii="Times New Roman" w:hAnsi="Times New Roman" w:cs="Times New Roman"/>
          <w:bCs/>
          <w:sz w:val="24"/>
          <w:szCs w:val="24"/>
          <w:lang w:val="fr-FR"/>
        </w:rPr>
        <w:t>pré-faisabilité</w:t>
      </w:r>
      <w:proofErr w:type="spellEnd"/>
      <w:r w:rsidRPr="0034195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341957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environnementale, sociale et relativement à la gouvernance (ESG)</w:t>
      </w:r>
      <w:r w:rsidRPr="0034195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présente un résumé de l’évaluation de l’impact sur l’environnement (d’une EIE distincte).</w:t>
      </w:r>
      <w:r w:rsidRPr="00341957">
        <w:rPr>
          <w:rFonts w:ascii="Times New Roman" w:hAnsi="Times New Roman" w:cs="Times New Roman"/>
          <w:bCs/>
          <w:sz w:val="24"/>
          <w:szCs w:val="24"/>
          <w:lang w:val="fr-FR"/>
        </w:rPr>
        <w:br/>
        <w:t>Ce sont des facteurs qui peuvent arrêter net un projet, quel que soit son potentiel économique d’où leur importance.</w:t>
      </w:r>
    </w:p>
    <w:p w14:paraId="39DEA57A" w14:textId="518795ED" w:rsidR="00554F1A" w:rsidRPr="00341957" w:rsidRDefault="00554F1A" w:rsidP="00554F1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98F7EDC" w14:textId="4323A837" w:rsidR="00554F1A" w:rsidRPr="00341957" w:rsidRDefault="00AA672D" w:rsidP="00554F1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Les informations requises peuvent varier suivant les spécificités du projet, en fonction de leur envergure, de la sensibilité du milieu récepteur, ou tout autre facteur. Ci-après la table des matières proposée standard en guise de guide :</w:t>
      </w:r>
    </w:p>
    <w:p w14:paraId="49F90BD0" w14:textId="77777777" w:rsidR="00AA672D" w:rsidRPr="00341957" w:rsidRDefault="00AA672D" w:rsidP="00554F1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7D77B99" w14:textId="15C957D7" w:rsidR="0077462E" w:rsidRPr="00341957" w:rsidRDefault="0077462E" w:rsidP="003F27DD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34195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Table des matières de l'étude de </w:t>
      </w:r>
      <w:proofErr w:type="spellStart"/>
      <w:r w:rsidR="0096691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pré-faisabilité</w:t>
      </w:r>
      <w:proofErr w:type="spellEnd"/>
    </w:p>
    <w:p w14:paraId="4A4DF0D4" w14:textId="23E98CD8" w:rsidR="0089082F" w:rsidRPr="00341957" w:rsidRDefault="0089082F" w:rsidP="003F27DD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14:paraId="48230FFF" w14:textId="77777777" w:rsidR="0089082F" w:rsidRPr="00341957" w:rsidRDefault="0089082F" w:rsidP="0089082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I. RÉSUMÉ EXÉCUTIF</w:t>
      </w:r>
    </w:p>
    <w:p w14:paraId="04299071" w14:textId="77777777" w:rsidR="0089082F" w:rsidRPr="00341957" w:rsidRDefault="0089082F" w:rsidP="00C5599B">
      <w:pPr>
        <w:numPr>
          <w:ilvl w:val="0"/>
          <w:numId w:val="4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Synthèse des conclusions majeures et recommandations</w:t>
      </w:r>
    </w:p>
    <w:p w14:paraId="4996FA9E" w14:textId="77777777" w:rsidR="0089082F" w:rsidRPr="00341957" w:rsidRDefault="0089082F" w:rsidP="00C5599B">
      <w:pPr>
        <w:numPr>
          <w:ilvl w:val="0"/>
          <w:numId w:val="4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Indicateurs clés de performance (VAN, TRI, période de récupération)</w:t>
      </w:r>
    </w:p>
    <w:p w14:paraId="401968BF" w14:textId="77777777" w:rsidR="0089082F" w:rsidRPr="00341957" w:rsidRDefault="0089082F" w:rsidP="00C5599B">
      <w:pPr>
        <w:numPr>
          <w:ilvl w:val="0"/>
          <w:numId w:val="4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Principaux risques et opportunités identifiés</w:t>
      </w:r>
    </w:p>
    <w:p w14:paraId="29D45010" w14:textId="77777777" w:rsidR="0089082F" w:rsidRPr="00341957" w:rsidRDefault="0089082F" w:rsidP="0089082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II. CONTEXTE ET CADRE JURIDIQUE</w:t>
      </w:r>
    </w:p>
    <w:p w14:paraId="51104623" w14:textId="77777777" w:rsidR="0089082F" w:rsidRPr="00341957" w:rsidRDefault="0089082F" w:rsidP="00C5599B">
      <w:pPr>
        <w:numPr>
          <w:ilvl w:val="0"/>
          <w:numId w:val="5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Présentation du titulaire, opérateur et partenaires, de leurs capacités financières et techniques nécessaires</w:t>
      </w:r>
    </w:p>
    <w:p w14:paraId="785F7BC3" w14:textId="77777777" w:rsidR="0089082F" w:rsidRPr="00341957" w:rsidRDefault="0089082F" w:rsidP="00C5599B">
      <w:pPr>
        <w:numPr>
          <w:ilvl w:val="0"/>
          <w:numId w:val="5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Cadre légal et réglementaire complet</w:t>
      </w:r>
    </w:p>
    <w:p w14:paraId="021BD9E3" w14:textId="77777777" w:rsidR="0089082F" w:rsidRPr="00341957" w:rsidRDefault="0089082F" w:rsidP="00C5599B">
      <w:pPr>
        <w:numPr>
          <w:ilvl w:val="0"/>
          <w:numId w:val="5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Conformité aux normes internationales (ITIE, OCDE, etc.)</w:t>
      </w:r>
    </w:p>
    <w:p w14:paraId="01827844" w14:textId="77777777" w:rsidR="0089082F" w:rsidRPr="00341957" w:rsidRDefault="0089082F" w:rsidP="00C5599B">
      <w:pPr>
        <w:numPr>
          <w:ilvl w:val="0"/>
          <w:numId w:val="5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Régime fiscal et douanier</w:t>
      </w:r>
    </w:p>
    <w:p w14:paraId="054C6EEC" w14:textId="77777777" w:rsidR="0089082F" w:rsidRPr="00341957" w:rsidRDefault="0089082F" w:rsidP="00C5599B">
      <w:pPr>
        <w:numPr>
          <w:ilvl w:val="0"/>
          <w:numId w:val="5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Titres miniers et superficiaires</w:t>
      </w:r>
    </w:p>
    <w:p w14:paraId="60481045" w14:textId="39AF30E1" w:rsidR="0089082F" w:rsidRPr="00341957" w:rsidRDefault="0089082F" w:rsidP="0089082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>III. ÉTUDE GÉO</w:t>
      </w:r>
      <w:r w:rsidR="00BD2021"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LOGIQUE ET RESSOURCES MINÉRALES</w:t>
      </w:r>
    </w:p>
    <w:p w14:paraId="47A50B27" w14:textId="77777777" w:rsidR="0089082F" w:rsidRPr="00341957" w:rsidRDefault="0089082F" w:rsidP="00C5599B">
      <w:pPr>
        <w:numPr>
          <w:ilvl w:val="0"/>
          <w:numId w:val="6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Méthodologie d'échantillonnage et modélisation géostatistique</w:t>
      </w:r>
    </w:p>
    <w:p w14:paraId="21A9AC4A" w14:textId="77777777" w:rsidR="0089082F" w:rsidRPr="00341957" w:rsidRDefault="0089082F" w:rsidP="00C5599B">
      <w:pPr>
        <w:numPr>
          <w:ilvl w:val="0"/>
          <w:numId w:val="6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Estimation des ressources selon normes JORC/NI 43-101 ou équivalent</w:t>
      </w:r>
    </w:p>
    <w:p w14:paraId="0543538D" w14:textId="77777777" w:rsidR="0089082F" w:rsidRPr="00341957" w:rsidRDefault="0089082F" w:rsidP="00C5599B">
      <w:pPr>
        <w:numPr>
          <w:ilvl w:val="0"/>
          <w:numId w:val="6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Vérification par tierce partie indépendante</w:t>
      </w:r>
    </w:p>
    <w:p w14:paraId="02E8F256" w14:textId="77777777" w:rsidR="0089082F" w:rsidRPr="00341957" w:rsidRDefault="0089082F" w:rsidP="00C5599B">
      <w:pPr>
        <w:numPr>
          <w:ilvl w:val="0"/>
          <w:numId w:val="6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Potentiel de minéralisation additionnelle</w:t>
      </w:r>
    </w:p>
    <w:p w14:paraId="3DA583DE" w14:textId="77777777" w:rsidR="0089082F" w:rsidRPr="00341957" w:rsidRDefault="0089082F" w:rsidP="00C5599B">
      <w:pPr>
        <w:numPr>
          <w:ilvl w:val="0"/>
          <w:numId w:val="6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Programme de forage recommandé pour la faisabilité</w:t>
      </w:r>
    </w:p>
    <w:p w14:paraId="655C0906" w14:textId="769718C4" w:rsidR="00765BD5" w:rsidRPr="00341957" w:rsidRDefault="00765BD5" w:rsidP="00765BD5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IV. ETUDE DE DISPONIBI</w:t>
      </w:r>
      <w:r w:rsidR="00BD2021"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LITE DES RESSOURCES NATURELLES</w:t>
      </w:r>
    </w:p>
    <w:p w14:paraId="16D327B7" w14:textId="37A60A3E" w:rsidR="00765BD5" w:rsidRPr="00341957" w:rsidRDefault="00765BD5" w:rsidP="00765BD5">
      <w:pPr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Disponibilité et en quantité suffisante des ressources en eau</w:t>
      </w:r>
    </w:p>
    <w:p w14:paraId="3DA7469C" w14:textId="792B1FF1" w:rsidR="00765BD5" w:rsidRPr="00341957" w:rsidRDefault="00765BD5" w:rsidP="00765BD5">
      <w:pPr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Disponibilité des sources </w:t>
      </w:r>
      <w:r w:rsidR="008D0210">
        <w:rPr>
          <w:rFonts w:ascii="Times New Roman" w:hAnsi="Times New Roman" w:cs="Times New Roman"/>
          <w:sz w:val="24"/>
          <w:szCs w:val="24"/>
          <w:lang w:val="fr-FR"/>
        </w:rPr>
        <w:t xml:space="preserve">ou des potentiels de production </w:t>
      </w:r>
      <w:r w:rsidRPr="00341957">
        <w:rPr>
          <w:rFonts w:ascii="Times New Roman" w:hAnsi="Times New Roman" w:cs="Times New Roman"/>
          <w:sz w:val="24"/>
          <w:szCs w:val="24"/>
          <w:lang w:val="fr-FR"/>
        </w:rPr>
        <w:t>d’énergie</w:t>
      </w:r>
    </w:p>
    <w:p w14:paraId="11C09F17" w14:textId="312B3008" w:rsidR="0089082F" w:rsidRPr="00341957" w:rsidRDefault="0089082F" w:rsidP="0089082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V. ÉTUDE TECHNIQUE</w:t>
      </w:r>
    </w:p>
    <w:p w14:paraId="797C4716" w14:textId="77777777" w:rsidR="00667C1E" w:rsidRPr="00341957" w:rsidRDefault="00667C1E" w:rsidP="00C5599B">
      <w:pPr>
        <w:numPr>
          <w:ilvl w:val="0"/>
          <w:numId w:val="7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Définition du produit vendable à partir des ressources délimitées et des marchés cibles </w:t>
      </w:r>
    </w:p>
    <w:p w14:paraId="25A3EBC1" w14:textId="14E03C76" w:rsidR="0089082F" w:rsidRPr="00341957" w:rsidRDefault="0089082F" w:rsidP="00C5599B">
      <w:pPr>
        <w:numPr>
          <w:ilvl w:val="0"/>
          <w:numId w:val="7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Méthode d'extraction sélectionnée et alternatives évaluées</w:t>
      </w:r>
    </w:p>
    <w:p w14:paraId="1C982002" w14:textId="77777777" w:rsidR="0089082F" w:rsidRPr="00341957" w:rsidRDefault="0089082F" w:rsidP="00C5599B">
      <w:pPr>
        <w:numPr>
          <w:ilvl w:val="0"/>
          <w:numId w:val="7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Séquence minière et plan de production</w:t>
      </w:r>
    </w:p>
    <w:p w14:paraId="1310BEDA" w14:textId="77777777" w:rsidR="0089082F" w:rsidRPr="00341957" w:rsidRDefault="0089082F" w:rsidP="00C5599B">
      <w:pPr>
        <w:numPr>
          <w:ilvl w:val="0"/>
          <w:numId w:val="7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Infrastructure minière et équipements</w:t>
      </w:r>
    </w:p>
    <w:p w14:paraId="047667AC" w14:textId="77777777" w:rsidR="0089082F" w:rsidRPr="00341957" w:rsidRDefault="0089082F" w:rsidP="00C5599B">
      <w:pPr>
        <w:numPr>
          <w:ilvl w:val="0"/>
          <w:numId w:val="7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Technologie de traitement et schéma de procédé</w:t>
      </w:r>
    </w:p>
    <w:p w14:paraId="4D73E6FC" w14:textId="32EF0B35" w:rsidR="0089082F" w:rsidRPr="00341957" w:rsidRDefault="008D0210" w:rsidP="00C5599B">
      <w:pPr>
        <w:numPr>
          <w:ilvl w:val="0"/>
          <w:numId w:val="7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Digitalisation et technologie</w:t>
      </w:r>
      <w:r w:rsidR="0089082F" w:rsidRPr="00341957">
        <w:rPr>
          <w:rFonts w:ascii="Times New Roman" w:hAnsi="Times New Roman" w:cs="Times New Roman"/>
          <w:sz w:val="24"/>
          <w:szCs w:val="24"/>
          <w:lang w:val="fr-FR"/>
        </w:rPr>
        <w:t xml:space="preserve"> de mine intelligente</w:t>
      </w:r>
    </w:p>
    <w:p w14:paraId="72711F8B" w14:textId="1ABB608B" w:rsidR="0089082F" w:rsidRPr="00341957" w:rsidRDefault="0089082F" w:rsidP="0089082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V</w:t>
      </w:r>
      <w:r w:rsidR="00765BD5"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I</w:t>
      </w: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. ÉTUDE OPÉRATIONNELLE</w:t>
      </w:r>
    </w:p>
    <w:p w14:paraId="78D41B11" w14:textId="77777777" w:rsidR="0089082F" w:rsidRPr="00341957" w:rsidRDefault="0089082F" w:rsidP="00C5599B">
      <w:pPr>
        <w:numPr>
          <w:ilvl w:val="0"/>
          <w:numId w:val="8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Calendrier détaillé de développement</w:t>
      </w:r>
    </w:p>
    <w:p w14:paraId="7C1F59E0" w14:textId="77777777" w:rsidR="0089082F" w:rsidRPr="00341957" w:rsidRDefault="0089082F" w:rsidP="00C5599B">
      <w:pPr>
        <w:numPr>
          <w:ilvl w:val="0"/>
          <w:numId w:val="8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Plan de production et taux d'exploitation</w:t>
      </w:r>
    </w:p>
    <w:p w14:paraId="59C7EC92" w14:textId="77777777" w:rsidR="0089082F" w:rsidRPr="00341957" w:rsidRDefault="0089082F" w:rsidP="00C5599B">
      <w:pPr>
        <w:numPr>
          <w:ilvl w:val="0"/>
          <w:numId w:val="8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Gestion de la chaîne d'approvisionnement</w:t>
      </w:r>
    </w:p>
    <w:p w14:paraId="65CB832A" w14:textId="77777777" w:rsidR="0089082F" w:rsidRPr="00341957" w:rsidRDefault="0089082F" w:rsidP="00C5599B">
      <w:pPr>
        <w:numPr>
          <w:ilvl w:val="0"/>
          <w:numId w:val="8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Main-d'œuvre et compétences requises</w:t>
      </w:r>
    </w:p>
    <w:p w14:paraId="4B73D233" w14:textId="77777777" w:rsidR="0089082F" w:rsidRPr="00341957" w:rsidRDefault="0089082F" w:rsidP="00C5599B">
      <w:pPr>
        <w:numPr>
          <w:ilvl w:val="0"/>
          <w:numId w:val="8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Plan de transition vers l'exploitation</w:t>
      </w:r>
    </w:p>
    <w:p w14:paraId="3553D69B" w14:textId="1B8D29FE" w:rsidR="0089082F" w:rsidRPr="00341957" w:rsidRDefault="0089082F" w:rsidP="0089082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V</w:t>
      </w:r>
      <w:r w:rsidR="00765BD5"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I</w:t>
      </w:r>
      <w:r w:rsidR="00BD2021"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I. ÉTUDE ENVIRONNEMENTALE</w:t>
      </w:r>
    </w:p>
    <w:p w14:paraId="6C5CB73F" w14:textId="77777777" w:rsidR="0089082F" w:rsidRPr="00341957" w:rsidRDefault="0089082F" w:rsidP="00C5599B">
      <w:pPr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Évaluation environnementale stratégique</w:t>
      </w:r>
    </w:p>
    <w:p w14:paraId="3BEEDBE8" w14:textId="77777777" w:rsidR="0089082F" w:rsidRPr="00341957" w:rsidRDefault="0089082F" w:rsidP="00C5599B">
      <w:pPr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Plan de gestion des résidus miniers (conformité GISTM)</w:t>
      </w:r>
    </w:p>
    <w:p w14:paraId="55771C09" w14:textId="77777777" w:rsidR="0089082F" w:rsidRPr="00341957" w:rsidRDefault="0089082F" w:rsidP="00C5599B">
      <w:pPr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Gestion des eaux et des déchets</w:t>
      </w:r>
    </w:p>
    <w:p w14:paraId="557B6D6B" w14:textId="77777777" w:rsidR="0089082F" w:rsidRPr="00341957" w:rsidRDefault="0089082F" w:rsidP="00C5599B">
      <w:pPr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Bilan carbone et stratégie de décarbonation</w:t>
      </w:r>
    </w:p>
    <w:p w14:paraId="7B218E24" w14:textId="77777777" w:rsidR="0089082F" w:rsidRPr="00341957" w:rsidRDefault="0089082F" w:rsidP="00C5599B">
      <w:pPr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lastRenderedPageBreak/>
        <w:t>Plan de fermeture et réhabilitation détaillé</w:t>
      </w:r>
    </w:p>
    <w:p w14:paraId="5156E6F9" w14:textId="77777777" w:rsidR="0089082F" w:rsidRPr="00341957" w:rsidRDefault="0089082F" w:rsidP="00C5599B">
      <w:pPr>
        <w:numPr>
          <w:ilvl w:val="0"/>
          <w:numId w:val="9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Estimation des coûts de fermeture et provisions</w:t>
      </w:r>
    </w:p>
    <w:p w14:paraId="502D6F7B" w14:textId="404B5187" w:rsidR="0089082F" w:rsidRPr="00341957" w:rsidRDefault="0089082F" w:rsidP="0089082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VIII. ÉTU</w:t>
      </w:r>
      <w:r w:rsidR="00BD2021"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DE SOCIALE ET PARTIES PRENANTES</w:t>
      </w:r>
    </w:p>
    <w:p w14:paraId="7A1AA303" w14:textId="77777777" w:rsidR="0089082F" w:rsidRPr="00341957" w:rsidRDefault="0089082F" w:rsidP="00C5599B">
      <w:pPr>
        <w:numPr>
          <w:ilvl w:val="0"/>
          <w:numId w:val="10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Étude d'impact social détaillée</w:t>
      </w:r>
    </w:p>
    <w:p w14:paraId="6AECA86B" w14:textId="77777777" w:rsidR="0089082F" w:rsidRPr="00341957" w:rsidRDefault="0089082F" w:rsidP="00C5599B">
      <w:pPr>
        <w:numPr>
          <w:ilvl w:val="0"/>
          <w:numId w:val="10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Plan de participation des parties prenantes</w:t>
      </w:r>
    </w:p>
    <w:p w14:paraId="1405F44E" w14:textId="77777777" w:rsidR="0089082F" w:rsidRPr="00341957" w:rsidRDefault="0089082F" w:rsidP="00C5599B">
      <w:pPr>
        <w:numPr>
          <w:ilvl w:val="0"/>
          <w:numId w:val="10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Mécanisme de gestion des plaintes</w:t>
      </w:r>
    </w:p>
    <w:p w14:paraId="437A094F" w14:textId="77777777" w:rsidR="0089082F" w:rsidRPr="00341957" w:rsidRDefault="0089082F" w:rsidP="00C5599B">
      <w:pPr>
        <w:numPr>
          <w:ilvl w:val="0"/>
          <w:numId w:val="10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Analyse genre et inclusion</w:t>
      </w:r>
    </w:p>
    <w:p w14:paraId="3BC405A6" w14:textId="77777777" w:rsidR="0089082F" w:rsidRPr="00341957" w:rsidRDefault="0089082F" w:rsidP="00C5599B">
      <w:pPr>
        <w:numPr>
          <w:ilvl w:val="0"/>
          <w:numId w:val="10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Plan de développement local et partage de valeur</w:t>
      </w:r>
    </w:p>
    <w:p w14:paraId="6A1984FF" w14:textId="63BD06F3" w:rsidR="0089082F" w:rsidRPr="00341957" w:rsidRDefault="00332660" w:rsidP="00C5599B">
      <w:pPr>
        <w:numPr>
          <w:ilvl w:val="0"/>
          <w:numId w:val="10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Programme de Responsabilité S</w:t>
      </w:r>
      <w:r w:rsidR="0089082F" w:rsidRPr="00341957">
        <w:rPr>
          <w:rFonts w:ascii="Times New Roman" w:hAnsi="Times New Roman" w:cs="Times New Roman"/>
          <w:sz w:val="24"/>
          <w:szCs w:val="24"/>
          <w:lang w:val="fr-FR"/>
        </w:rPr>
        <w:t>ociétale (RSE)</w:t>
      </w:r>
    </w:p>
    <w:p w14:paraId="701026B7" w14:textId="75349C83" w:rsidR="0089082F" w:rsidRPr="00341957" w:rsidRDefault="0089082F" w:rsidP="0089082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IX. ÉTUDE FINANCIÈRE </w:t>
      </w:r>
    </w:p>
    <w:p w14:paraId="36AA32E4" w14:textId="77777777" w:rsidR="0089082F" w:rsidRPr="00341957" w:rsidRDefault="0089082F" w:rsidP="00C5599B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Estimation des revenus (scénarios de prix)</w:t>
      </w:r>
    </w:p>
    <w:p w14:paraId="3A6F2AC6" w14:textId="77777777" w:rsidR="0089082F" w:rsidRPr="00341957" w:rsidRDefault="0089082F" w:rsidP="00C5599B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Coûts en capital (CAPEX) détaillés</w:t>
      </w:r>
    </w:p>
    <w:p w14:paraId="55C8AE84" w14:textId="77777777" w:rsidR="0089082F" w:rsidRPr="00341957" w:rsidRDefault="0089082F" w:rsidP="00C5599B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Coûts opératoires (OPEX) par poste</w:t>
      </w:r>
    </w:p>
    <w:p w14:paraId="0EDBEDD3" w14:textId="77777777" w:rsidR="0089082F" w:rsidRPr="00341957" w:rsidRDefault="0089082F" w:rsidP="00C5599B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Structure de financement et ratio d'endettement</w:t>
      </w:r>
    </w:p>
    <w:p w14:paraId="263F7266" w14:textId="77777777" w:rsidR="0089082F" w:rsidRPr="00341957" w:rsidRDefault="0089082F" w:rsidP="00C5599B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Analyse de sensibilité multi-paramètres</w:t>
      </w:r>
    </w:p>
    <w:p w14:paraId="6B14761D" w14:textId="77777777" w:rsidR="0089082F" w:rsidRPr="00341957" w:rsidRDefault="0089082F" w:rsidP="00C5599B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Scénarios alternatifs (pessimiste/optimiste)</w:t>
      </w:r>
    </w:p>
    <w:p w14:paraId="0B04262F" w14:textId="3BA06DF4" w:rsidR="0089082F" w:rsidRPr="00341957" w:rsidRDefault="0089082F" w:rsidP="00C5599B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VAN, TRI et période de récupération</w:t>
      </w:r>
    </w:p>
    <w:p w14:paraId="14A6EF54" w14:textId="2E7B089F" w:rsidR="0089082F" w:rsidRPr="00341957" w:rsidRDefault="00667C1E" w:rsidP="00C5599B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Plan de financement, y compris la structure de capital, le ratio d'endettement/fonds propres dans le financement total du projet</w:t>
      </w:r>
    </w:p>
    <w:p w14:paraId="39397F10" w14:textId="77777777" w:rsidR="0089082F" w:rsidRPr="00341957" w:rsidRDefault="0089082F" w:rsidP="00C5599B">
      <w:pPr>
        <w:numPr>
          <w:ilvl w:val="0"/>
          <w:numId w:val="11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Etude des marchés des produits d’exploitation au niveau local et international</w:t>
      </w:r>
    </w:p>
    <w:p w14:paraId="6DCC662C" w14:textId="7766660A" w:rsidR="0089082F" w:rsidRPr="00341957" w:rsidRDefault="00765BD5" w:rsidP="0089082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X. GESTION DES RISQUES</w:t>
      </w:r>
    </w:p>
    <w:p w14:paraId="55788C43" w14:textId="77777777" w:rsidR="0089082F" w:rsidRPr="00341957" w:rsidRDefault="0089082F" w:rsidP="00C5599B">
      <w:pPr>
        <w:numPr>
          <w:ilvl w:val="0"/>
          <w:numId w:val="12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Cartographie complète des risques (techniques, financiers, ESG)</w:t>
      </w:r>
    </w:p>
    <w:p w14:paraId="0CA9BDEF" w14:textId="77777777" w:rsidR="0089082F" w:rsidRPr="00341957" w:rsidRDefault="0089082F" w:rsidP="00C5599B">
      <w:pPr>
        <w:numPr>
          <w:ilvl w:val="0"/>
          <w:numId w:val="12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Analyse de criticité quantitative</w:t>
      </w:r>
    </w:p>
    <w:p w14:paraId="66E83A43" w14:textId="77777777" w:rsidR="0089082F" w:rsidRPr="00341957" w:rsidRDefault="0089082F" w:rsidP="00C5599B">
      <w:pPr>
        <w:numPr>
          <w:ilvl w:val="0"/>
          <w:numId w:val="12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Plan d'atténuation des risques</w:t>
      </w:r>
    </w:p>
    <w:p w14:paraId="760FFE45" w14:textId="77777777" w:rsidR="0089082F" w:rsidRPr="00341957" w:rsidRDefault="0089082F" w:rsidP="00C5599B">
      <w:pPr>
        <w:numPr>
          <w:ilvl w:val="0"/>
          <w:numId w:val="12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Évaluation des risques climatiques</w:t>
      </w:r>
    </w:p>
    <w:p w14:paraId="5E9A866A" w14:textId="77777777" w:rsidR="0089082F" w:rsidRPr="00341957" w:rsidRDefault="0089082F" w:rsidP="00C5599B">
      <w:pPr>
        <w:numPr>
          <w:ilvl w:val="0"/>
          <w:numId w:val="12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Plan de continuité d'activités</w:t>
      </w:r>
    </w:p>
    <w:p w14:paraId="69237955" w14:textId="5DD4B112" w:rsidR="0089082F" w:rsidRPr="00341957" w:rsidRDefault="0089082F" w:rsidP="0089082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XI</w:t>
      </w:r>
      <w:r w:rsidR="00765BD5"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. SANTÉ, SÉCURITÉ ET CONFORMITÉ</w:t>
      </w:r>
    </w:p>
    <w:p w14:paraId="10F29024" w14:textId="77777777" w:rsidR="0089082F" w:rsidRPr="00341957" w:rsidRDefault="0089082F" w:rsidP="00C5599B">
      <w:pPr>
        <w:numPr>
          <w:ilvl w:val="0"/>
          <w:numId w:val="13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lastRenderedPageBreak/>
        <w:t>Plan de santé et sécurité conforme ISO 45001</w:t>
      </w:r>
    </w:p>
    <w:p w14:paraId="44907BE3" w14:textId="77777777" w:rsidR="0089082F" w:rsidRPr="00341957" w:rsidRDefault="0089082F" w:rsidP="00C5599B">
      <w:pPr>
        <w:numPr>
          <w:ilvl w:val="0"/>
          <w:numId w:val="13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Sécurisation du site et gestion des urgences</w:t>
      </w:r>
    </w:p>
    <w:p w14:paraId="75ED7FE4" w14:textId="77777777" w:rsidR="0089082F" w:rsidRPr="00341957" w:rsidRDefault="0089082F" w:rsidP="00C5599B">
      <w:pPr>
        <w:numPr>
          <w:ilvl w:val="0"/>
          <w:numId w:val="13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Conformité aux normes internationales</w:t>
      </w:r>
    </w:p>
    <w:p w14:paraId="33503229" w14:textId="77777777" w:rsidR="0089082F" w:rsidRPr="00341957" w:rsidRDefault="0089082F" w:rsidP="00C5599B">
      <w:pPr>
        <w:numPr>
          <w:ilvl w:val="0"/>
          <w:numId w:val="13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Indicateurs de performance HSE</w:t>
      </w:r>
    </w:p>
    <w:p w14:paraId="26A10AC4" w14:textId="15AF09EF" w:rsidR="0089082F" w:rsidRPr="00341957" w:rsidRDefault="0089082F" w:rsidP="0089082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XII. GOUVERNANCE ET CONFORMITÉ ESG</w:t>
      </w:r>
      <w:r w:rsidR="0033266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(Environnement-Social-Gouvernance</w:t>
      </w:r>
      <w:r w:rsidR="00765BD5"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)</w:t>
      </w:r>
    </w:p>
    <w:p w14:paraId="0B26B9B4" w14:textId="77777777" w:rsidR="0089082F" w:rsidRPr="00341957" w:rsidRDefault="0089082F" w:rsidP="00C5599B">
      <w:pPr>
        <w:numPr>
          <w:ilvl w:val="0"/>
          <w:numId w:val="14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Politique de diligence raisonnable de la chaîne d'approvisionnement</w:t>
      </w:r>
    </w:p>
    <w:p w14:paraId="67AEE037" w14:textId="77777777" w:rsidR="0089082F" w:rsidRPr="00341957" w:rsidRDefault="0089082F" w:rsidP="00C5599B">
      <w:pPr>
        <w:numPr>
          <w:ilvl w:val="0"/>
          <w:numId w:val="14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Conformité aux principes de l'ICMM</w:t>
      </w:r>
    </w:p>
    <w:p w14:paraId="3ADC962B" w14:textId="77777777" w:rsidR="0089082F" w:rsidRPr="00341957" w:rsidRDefault="0089082F" w:rsidP="00C5599B">
      <w:pPr>
        <w:numPr>
          <w:ilvl w:val="0"/>
          <w:numId w:val="14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Structure de gouvernance du projet</w:t>
      </w:r>
    </w:p>
    <w:p w14:paraId="3B79B096" w14:textId="77777777" w:rsidR="0089082F" w:rsidRPr="00341957" w:rsidRDefault="0089082F" w:rsidP="00C5599B">
      <w:pPr>
        <w:numPr>
          <w:ilvl w:val="0"/>
          <w:numId w:val="14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Système de gestion intégrée</w:t>
      </w:r>
    </w:p>
    <w:p w14:paraId="4678307A" w14:textId="77777777" w:rsidR="0089082F" w:rsidRPr="00341957" w:rsidRDefault="0089082F" w:rsidP="0089082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XIII. PLAN DE TRAVAIL FUTUR</w:t>
      </w:r>
    </w:p>
    <w:p w14:paraId="0BE884D3" w14:textId="77777777" w:rsidR="0089082F" w:rsidRPr="00341957" w:rsidRDefault="0089082F" w:rsidP="00C5599B">
      <w:pPr>
        <w:numPr>
          <w:ilvl w:val="0"/>
          <w:numId w:val="15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Étapes vers l'étude de faisabilité détaillée</w:t>
      </w:r>
    </w:p>
    <w:p w14:paraId="723C5795" w14:textId="77777777" w:rsidR="0089082F" w:rsidRPr="00341957" w:rsidRDefault="0089082F" w:rsidP="00C5599B">
      <w:pPr>
        <w:numPr>
          <w:ilvl w:val="0"/>
          <w:numId w:val="15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Planning et budget des prochaines phases</w:t>
      </w:r>
    </w:p>
    <w:p w14:paraId="0FF8F388" w14:textId="77777777" w:rsidR="0089082F" w:rsidRPr="00341957" w:rsidRDefault="0089082F" w:rsidP="00C5599B">
      <w:pPr>
        <w:numPr>
          <w:ilvl w:val="0"/>
          <w:numId w:val="15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Conditions préalables au développement</w:t>
      </w:r>
    </w:p>
    <w:p w14:paraId="5CA35A62" w14:textId="77777777" w:rsidR="0089082F" w:rsidRPr="00341957" w:rsidRDefault="0089082F" w:rsidP="0089082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XIV. CONCLUSION ET RECOMMANDATIONS</w:t>
      </w:r>
    </w:p>
    <w:p w14:paraId="01CF415D" w14:textId="0DD9001C" w:rsidR="0089082F" w:rsidRPr="00341957" w:rsidRDefault="0089082F" w:rsidP="00C5599B">
      <w:pPr>
        <w:numPr>
          <w:ilvl w:val="0"/>
          <w:numId w:val="16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Avis sur la poursuite du projet</w:t>
      </w:r>
    </w:p>
    <w:p w14:paraId="58E5FA8D" w14:textId="72C45369" w:rsidR="0089082F" w:rsidRPr="00341957" w:rsidRDefault="0089082F" w:rsidP="00C5599B">
      <w:pPr>
        <w:numPr>
          <w:ilvl w:val="0"/>
          <w:numId w:val="16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Taux de Rentabilité Interne prévisionnel avec précisions sur le taux d’actualisation pris en compte</w:t>
      </w:r>
    </w:p>
    <w:p w14:paraId="070B4582" w14:textId="77777777" w:rsidR="0089082F" w:rsidRPr="00341957" w:rsidRDefault="0089082F" w:rsidP="00C5599B">
      <w:pPr>
        <w:numPr>
          <w:ilvl w:val="0"/>
          <w:numId w:val="16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Conditions et recommandations clés</w:t>
      </w:r>
    </w:p>
    <w:p w14:paraId="567652F6" w14:textId="40394C6D" w:rsidR="0089082F" w:rsidRPr="00341957" w:rsidRDefault="0089082F" w:rsidP="0089082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XV</w:t>
      </w:r>
      <w:r w:rsidR="00765BD5" w:rsidRPr="00341957">
        <w:rPr>
          <w:rFonts w:ascii="Times New Roman" w:hAnsi="Times New Roman" w:cs="Times New Roman"/>
          <w:b/>
          <w:bCs/>
          <w:sz w:val="24"/>
          <w:szCs w:val="24"/>
          <w:lang w:val="fr-FR"/>
        </w:rPr>
        <w:t>. ANNEXES</w:t>
      </w:r>
    </w:p>
    <w:p w14:paraId="145983D3" w14:textId="77777777" w:rsidR="0089082F" w:rsidRPr="00341957" w:rsidRDefault="0089082F" w:rsidP="00C5599B">
      <w:pPr>
        <w:numPr>
          <w:ilvl w:val="0"/>
          <w:numId w:val="17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Données géologiques complètes</w:t>
      </w:r>
    </w:p>
    <w:p w14:paraId="4922DF63" w14:textId="77777777" w:rsidR="0089082F" w:rsidRPr="00341957" w:rsidRDefault="0089082F" w:rsidP="00C5599B">
      <w:pPr>
        <w:numPr>
          <w:ilvl w:val="0"/>
          <w:numId w:val="17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Études techniques détaillées</w:t>
      </w:r>
    </w:p>
    <w:p w14:paraId="59E0B979" w14:textId="77777777" w:rsidR="0089082F" w:rsidRPr="00341957" w:rsidRDefault="0089082F" w:rsidP="00C5599B">
      <w:pPr>
        <w:numPr>
          <w:ilvl w:val="0"/>
          <w:numId w:val="17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Rapports d'experts indépendants</w:t>
      </w:r>
    </w:p>
    <w:p w14:paraId="1D382F00" w14:textId="77777777" w:rsidR="0089082F" w:rsidRPr="00341957" w:rsidRDefault="0089082F" w:rsidP="00C5599B">
      <w:pPr>
        <w:numPr>
          <w:ilvl w:val="0"/>
          <w:numId w:val="17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Données de marché et analyses</w:t>
      </w:r>
    </w:p>
    <w:p w14:paraId="0F6FD6E3" w14:textId="77777777" w:rsidR="0089082F" w:rsidRPr="00341957" w:rsidRDefault="0089082F" w:rsidP="00C5599B">
      <w:pPr>
        <w:numPr>
          <w:ilvl w:val="0"/>
          <w:numId w:val="17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Modèles financiers détaillés</w:t>
      </w:r>
    </w:p>
    <w:p w14:paraId="50938BAB" w14:textId="77777777" w:rsidR="0089082F" w:rsidRPr="00341957" w:rsidRDefault="0089082F" w:rsidP="00C5599B">
      <w:pPr>
        <w:numPr>
          <w:ilvl w:val="0"/>
          <w:numId w:val="17"/>
        </w:numPr>
        <w:spacing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41957">
        <w:rPr>
          <w:rFonts w:ascii="Times New Roman" w:hAnsi="Times New Roman" w:cs="Times New Roman"/>
          <w:sz w:val="24"/>
          <w:szCs w:val="24"/>
          <w:lang w:val="fr-FR"/>
        </w:rPr>
        <w:t>Plans techniques et schémas</w:t>
      </w:r>
    </w:p>
    <w:p w14:paraId="47620AB8" w14:textId="77777777" w:rsidR="0089082F" w:rsidRPr="00341957" w:rsidRDefault="0089082F" w:rsidP="0089082F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89082F" w:rsidRPr="0034195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5F71" w14:textId="77777777" w:rsidR="00240AFE" w:rsidRDefault="00240AFE" w:rsidP="0077462E">
      <w:pPr>
        <w:spacing w:after="0" w:line="240" w:lineRule="auto"/>
      </w:pPr>
      <w:r>
        <w:separator/>
      </w:r>
    </w:p>
  </w:endnote>
  <w:endnote w:type="continuationSeparator" w:id="0">
    <w:p w14:paraId="7ECE3126" w14:textId="77777777" w:rsidR="00240AFE" w:rsidRDefault="00240AFE" w:rsidP="0077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008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3D76C" w14:textId="23B8A857" w:rsidR="00E9404D" w:rsidRDefault="00E940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F0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25AE7AC" w14:textId="77777777" w:rsidR="00E9404D" w:rsidRDefault="00E94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D1A5" w14:textId="77777777" w:rsidR="00240AFE" w:rsidRDefault="00240AFE" w:rsidP="0077462E">
      <w:pPr>
        <w:spacing w:after="0" w:line="240" w:lineRule="auto"/>
      </w:pPr>
      <w:r>
        <w:separator/>
      </w:r>
    </w:p>
  </w:footnote>
  <w:footnote w:type="continuationSeparator" w:id="0">
    <w:p w14:paraId="2F37809C" w14:textId="77777777" w:rsidR="00240AFE" w:rsidRDefault="00240AFE" w:rsidP="00774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E36"/>
    <w:multiLevelType w:val="hybridMultilevel"/>
    <w:tmpl w:val="EBB4DD30"/>
    <w:lvl w:ilvl="0" w:tplc="5D585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BB5"/>
    <w:multiLevelType w:val="multilevel"/>
    <w:tmpl w:val="AE58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F567F"/>
    <w:multiLevelType w:val="multilevel"/>
    <w:tmpl w:val="3008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826F3"/>
    <w:multiLevelType w:val="multilevel"/>
    <w:tmpl w:val="CD16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66B91"/>
    <w:multiLevelType w:val="multilevel"/>
    <w:tmpl w:val="BC7C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F4338"/>
    <w:multiLevelType w:val="multilevel"/>
    <w:tmpl w:val="0B3C57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24CFD"/>
    <w:multiLevelType w:val="multilevel"/>
    <w:tmpl w:val="721E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5437BB"/>
    <w:multiLevelType w:val="multilevel"/>
    <w:tmpl w:val="8AD2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63968"/>
    <w:multiLevelType w:val="multilevel"/>
    <w:tmpl w:val="03DE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BA2B39"/>
    <w:multiLevelType w:val="multilevel"/>
    <w:tmpl w:val="B4583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072FD"/>
    <w:multiLevelType w:val="multilevel"/>
    <w:tmpl w:val="297E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7D2C89"/>
    <w:multiLevelType w:val="multilevel"/>
    <w:tmpl w:val="89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87CCA"/>
    <w:multiLevelType w:val="multilevel"/>
    <w:tmpl w:val="5E10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42B60"/>
    <w:multiLevelType w:val="multilevel"/>
    <w:tmpl w:val="573C1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3302"/>
    <w:multiLevelType w:val="multilevel"/>
    <w:tmpl w:val="2BEC6B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BF31F0"/>
    <w:multiLevelType w:val="multilevel"/>
    <w:tmpl w:val="1636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44E42"/>
    <w:multiLevelType w:val="multilevel"/>
    <w:tmpl w:val="DC30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A15C98"/>
    <w:multiLevelType w:val="multilevel"/>
    <w:tmpl w:val="DE8E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0D4CFE"/>
    <w:multiLevelType w:val="multilevel"/>
    <w:tmpl w:val="0828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2C3F8A"/>
    <w:multiLevelType w:val="multilevel"/>
    <w:tmpl w:val="BD14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20415A"/>
    <w:multiLevelType w:val="multilevel"/>
    <w:tmpl w:val="D76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05BE4"/>
    <w:multiLevelType w:val="multilevel"/>
    <w:tmpl w:val="E9CC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7B42A3"/>
    <w:multiLevelType w:val="multilevel"/>
    <w:tmpl w:val="440A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205ABF"/>
    <w:multiLevelType w:val="hybridMultilevel"/>
    <w:tmpl w:val="ECBA5132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7E2F92"/>
    <w:multiLevelType w:val="multilevel"/>
    <w:tmpl w:val="8290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E944F2"/>
    <w:multiLevelType w:val="hybridMultilevel"/>
    <w:tmpl w:val="6FE2BB9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8C2B10"/>
    <w:multiLevelType w:val="multilevel"/>
    <w:tmpl w:val="8CCC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062CFA"/>
    <w:multiLevelType w:val="multilevel"/>
    <w:tmpl w:val="3CF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EE3ADA"/>
    <w:multiLevelType w:val="multilevel"/>
    <w:tmpl w:val="F008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225CFC"/>
    <w:multiLevelType w:val="multilevel"/>
    <w:tmpl w:val="0134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992ACD"/>
    <w:multiLevelType w:val="multilevel"/>
    <w:tmpl w:val="7FCC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3C5837"/>
    <w:multiLevelType w:val="multilevel"/>
    <w:tmpl w:val="F0C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B74E2D"/>
    <w:multiLevelType w:val="multilevel"/>
    <w:tmpl w:val="A606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2D416D"/>
    <w:multiLevelType w:val="multilevel"/>
    <w:tmpl w:val="824E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1355E"/>
    <w:multiLevelType w:val="multilevel"/>
    <w:tmpl w:val="1DE6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779241">
    <w:abstractNumId w:val="25"/>
  </w:num>
  <w:num w:numId="2" w16cid:durableId="465588267">
    <w:abstractNumId w:val="0"/>
  </w:num>
  <w:num w:numId="3" w16cid:durableId="1829905071">
    <w:abstractNumId w:val="23"/>
  </w:num>
  <w:num w:numId="4" w16cid:durableId="1562863326">
    <w:abstractNumId w:val="17"/>
  </w:num>
  <w:num w:numId="5" w16cid:durableId="1225414862">
    <w:abstractNumId w:val="6"/>
  </w:num>
  <w:num w:numId="6" w16cid:durableId="908807564">
    <w:abstractNumId w:val="2"/>
  </w:num>
  <w:num w:numId="7" w16cid:durableId="1092438502">
    <w:abstractNumId w:val="29"/>
  </w:num>
  <w:num w:numId="8" w16cid:durableId="918372581">
    <w:abstractNumId w:val="16"/>
  </w:num>
  <w:num w:numId="9" w16cid:durableId="92365660">
    <w:abstractNumId w:val="11"/>
  </w:num>
  <w:num w:numId="10" w16cid:durableId="843399770">
    <w:abstractNumId w:val="34"/>
  </w:num>
  <w:num w:numId="11" w16cid:durableId="643779644">
    <w:abstractNumId w:val="24"/>
  </w:num>
  <w:num w:numId="12" w16cid:durableId="148720156">
    <w:abstractNumId w:val="28"/>
  </w:num>
  <w:num w:numId="13" w16cid:durableId="1948929487">
    <w:abstractNumId w:val="15"/>
  </w:num>
  <w:num w:numId="14" w16cid:durableId="1481801248">
    <w:abstractNumId w:val="18"/>
  </w:num>
  <w:num w:numId="15" w16cid:durableId="362050191">
    <w:abstractNumId w:val="33"/>
  </w:num>
  <w:num w:numId="16" w16cid:durableId="1738892350">
    <w:abstractNumId w:val="1"/>
  </w:num>
  <w:num w:numId="17" w16cid:durableId="1554924294">
    <w:abstractNumId w:val="21"/>
  </w:num>
  <w:num w:numId="18" w16cid:durableId="54351768">
    <w:abstractNumId w:val="20"/>
  </w:num>
  <w:num w:numId="19" w16cid:durableId="2006545975">
    <w:abstractNumId w:val="22"/>
  </w:num>
  <w:num w:numId="20" w16cid:durableId="2108043217">
    <w:abstractNumId w:val="10"/>
  </w:num>
  <w:num w:numId="21" w16cid:durableId="1718313566">
    <w:abstractNumId w:val="19"/>
  </w:num>
  <w:num w:numId="22" w16cid:durableId="2127310917">
    <w:abstractNumId w:val="31"/>
  </w:num>
  <w:num w:numId="23" w16cid:durableId="1145314649">
    <w:abstractNumId w:val="4"/>
  </w:num>
  <w:num w:numId="24" w16cid:durableId="877200736">
    <w:abstractNumId w:val="26"/>
  </w:num>
  <w:num w:numId="25" w16cid:durableId="50277937">
    <w:abstractNumId w:val="32"/>
  </w:num>
  <w:num w:numId="26" w16cid:durableId="160777914">
    <w:abstractNumId w:val="7"/>
  </w:num>
  <w:num w:numId="27" w16cid:durableId="631835506">
    <w:abstractNumId w:val="12"/>
  </w:num>
  <w:num w:numId="28" w16cid:durableId="221140372">
    <w:abstractNumId w:val="3"/>
  </w:num>
  <w:num w:numId="29" w16cid:durableId="667175644">
    <w:abstractNumId w:val="30"/>
  </w:num>
  <w:num w:numId="30" w16cid:durableId="958146758">
    <w:abstractNumId w:val="9"/>
  </w:num>
  <w:num w:numId="31" w16cid:durableId="1692294779">
    <w:abstractNumId w:val="13"/>
  </w:num>
  <w:num w:numId="32" w16cid:durableId="546724634">
    <w:abstractNumId w:val="14"/>
  </w:num>
  <w:num w:numId="33" w16cid:durableId="475145462">
    <w:abstractNumId w:val="5"/>
  </w:num>
  <w:num w:numId="34" w16cid:durableId="1497726630">
    <w:abstractNumId w:val="27"/>
  </w:num>
  <w:num w:numId="35" w16cid:durableId="376399196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37"/>
    <w:rsid w:val="00025AF2"/>
    <w:rsid w:val="00027829"/>
    <w:rsid w:val="00037275"/>
    <w:rsid w:val="00043490"/>
    <w:rsid w:val="000727BF"/>
    <w:rsid w:val="0007609A"/>
    <w:rsid w:val="000811C9"/>
    <w:rsid w:val="000A1055"/>
    <w:rsid w:val="000B797B"/>
    <w:rsid w:val="000C431A"/>
    <w:rsid w:val="000C6568"/>
    <w:rsid w:val="000E7758"/>
    <w:rsid w:val="000F410B"/>
    <w:rsid w:val="000F41D6"/>
    <w:rsid w:val="000F6377"/>
    <w:rsid w:val="00157A23"/>
    <w:rsid w:val="0016294C"/>
    <w:rsid w:val="00190AE1"/>
    <w:rsid w:val="00193AF6"/>
    <w:rsid w:val="001D19B7"/>
    <w:rsid w:val="001F2EA8"/>
    <w:rsid w:val="002124C2"/>
    <w:rsid w:val="00223281"/>
    <w:rsid w:val="00240AFE"/>
    <w:rsid w:val="002673B5"/>
    <w:rsid w:val="00284695"/>
    <w:rsid w:val="002940B6"/>
    <w:rsid w:val="002962E8"/>
    <w:rsid w:val="002B598D"/>
    <w:rsid w:val="002C5246"/>
    <w:rsid w:val="00332660"/>
    <w:rsid w:val="00341957"/>
    <w:rsid w:val="003879A0"/>
    <w:rsid w:val="003B2764"/>
    <w:rsid w:val="003C7404"/>
    <w:rsid w:val="003D50EC"/>
    <w:rsid w:val="003F27DD"/>
    <w:rsid w:val="00406691"/>
    <w:rsid w:val="00437DB9"/>
    <w:rsid w:val="004E77F3"/>
    <w:rsid w:val="004F0CBA"/>
    <w:rsid w:val="004F302D"/>
    <w:rsid w:val="00527FAD"/>
    <w:rsid w:val="00530034"/>
    <w:rsid w:val="005342BC"/>
    <w:rsid w:val="005415BA"/>
    <w:rsid w:val="00550A71"/>
    <w:rsid w:val="00554F1A"/>
    <w:rsid w:val="00585B55"/>
    <w:rsid w:val="0059172E"/>
    <w:rsid w:val="00591985"/>
    <w:rsid w:val="005A3444"/>
    <w:rsid w:val="005F5249"/>
    <w:rsid w:val="005F5C02"/>
    <w:rsid w:val="00630DB7"/>
    <w:rsid w:val="00646B0B"/>
    <w:rsid w:val="00656DAF"/>
    <w:rsid w:val="00667C1E"/>
    <w:rsid w:val="0067520F"/>
    <w:rsid w:val="0068501C"/>
    <w:rsid w:val="00691547"/>
    <w:rsid w:val="006C362E"/>
    <w:rsid w:val="006D1925"/>
    <w:rsid w:val="006E3624"/>
    <w:rsid w:val="006F114D"/>
    <w:rsid w:val="00700515"/>
    <w:rsid w:val="00704E21"/>
    <w:rsid w:val="00721FB6"/>
    <w:rsid w:val="00746812"/>
    <w:rsid w:val="00746906"/>
    <w:rsid w:val="00765BD5"/>
    <w:rsid w:val="0077462E"/>
    <w:rsid w:val="00781873"/>
    <w:rsid w:val="007B21BB"/>
    <w:rsid w:val="0081496F"/>
    <w:rsid w:val="00820C72"/>
    <w:rsid w:val="0083388B"/>
    <w:rsid w:val="00833F11"/>
    <w:rsid w:val="008528B9"/>
    <w:rsid w:val="00853C04"/>
    <w:rsid w:val="00862247"/>
    <w:rsid w:val="0089082F"/>
    <w:rsid w:val="00896264"/>
    <w:rsid w:val="008A6680"/>
    <w:rsid w:val="008B2729"/>
    <w:rsid w:val="008C22A1"/>
    <w:rsid w:val="008D0210"/>
    <w:rsid w:val="008D7AB5"/>
    <w:rsid w:val="008E61F3"/>
    <w:rsid w:val="0095240C"/>
    <w:rsid w:val="00966917"/>
    <w:rsid w:val="00994157"/>
    <w:rsid w:val="009A4DED"/>
    <w:rsid w:val="00A06020"/>
    <w:rsid w:val="00A16876"/>
    <w:rsid w:val="00A16CFA"/>
    <w:rsid w:val="00A517C7"/>
    <w:rsid w:val="00A51F0E"/>
    <w:rsid w:val="00A65632"/>
    <w:rsid w:val="00A70618"/>
    <w:rsid w:val="00A75BD2"/>
    <w:rsid w:val="00A81D9D"/>
    <w:rsid w:val="00A90F3C"/>
    <w:rsid w:val="00A92E0D"/>
    <w:rsid w:val="00A92FD2"/>
    <w:rsid w:val="00A97F84"/>
    <w:rsid w:val="00AA672D"/>
    <w:rsid w:val="00AC7809"/>
    <w:rsid w:val="00AD5E7E"/>
    <w:rsid w:val="00B12144"/>
    <w:rsid w:val="00B51ACE"/>
    <w:rsid w:val="00B65BBB"/>
    <w:rsid w:val="00B90F75"/>
    <w:rsid w:val="00BB127E"/>
    <w:rsid w:val="00BD2021"/>
    <w:rsid w:val="00BD4267"/>
    <w:rsid w:val="00BD7474"/>
    <w:rsid w:val="00BD7E73"/>
    <w:rsid w:val="00BF40BE"/>
    <w:rsid w:val="00C5599B"/>
    <w:rsid w:val="00C60D85"/>
    <w:rsid w:val="00C67804"/>
    <w:rsid w:val="00C83737"/>
    <w:rsid w:val="00C92760"/>
    <w:rsid w:val="00C9669F"/>
    <w:rsid w:val="00CF5C3E"/>
    <w:rsid w:val="00D05F02"/>
    <w:rsid w:val="00D67D26"/>
    <w:rsid w:val="00D96972"/>
    <w:rsid w:val="00DD2A61"/>
    <w:rsid w:val="00DE0DEC"/>
    <w:rsid w:val="00E3224E"/>
    <w:rsid w:val="00E50B43"/>
    <w:rsid w:val="00E9404D"/>
    <w:rsid w:val="00EB0137"/>
    <w:rsid w:val="00EC17D8"/>
    <w:rsid w:val="00F058D4"/>
    <w:rsid w:val="00F4607B"/>
    <w:rsid w:val="00F83BD4"/>
    <w:rsid w:val="00FD464D"/>
    <w:rsid w:val="00FF22EE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4652"/>
  <w15:chartTrackingRefBased/>
  <w15:docId w15:val="{2EFA1412-5268-4E76-BAB1-F4C0714D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737"/>
  </w:style>
  <w:style w:type="paragraph" w:styleId="Heading1">
    <w:name w:val="heading 1"/>
    <w:basedOn w:val="Normal"/>
    <w:next w:val="Normal"/>
    <w:link w:val="Heading1Char"/>
    <w:uiPriority w:val="9"/>
    <w:qFormat/>
    <w:rsid w:val="00C8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737"/>
    <w:rPr>
      <w:i/>
      <w:iCs/>
      <w:color w:val="404040" w:themeColor="text1" w:themeTint="BF"/>
    </w:rPr>
  </w:style>
  <w:style w:type="paragraph" w:styleId="ListParagraph">
    <w:name w:val="List Paragraph"/>
    <w:aliases w:val="123 List Paragraph,Box,Bullets,IBL List Paragraph,List Paragraph (numbered (a)),List Paragraph nowy,List Paragraph1,List_Paragraph,Liste 1,Main numbered paragraph,Multilevel para_II,Numbered List Paragraph,Numbered Paragraph,RM"/>
    <w:basedOn w:val="Normal"/>
    <w:link w:val="ListParagraphChar"/>
    <w:uiPriority w:val="34"/>
    <w:qFormat/>
    <w:rsid w:val="00C83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73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123 List Paragraph Char,Box Char,Bullets Char,IBL List Paragraph Char,List Paragraph (numbered (a)) Char,List Paragraph nowy Char,List Paragraph1 Char,List_Paragraph Char,Liste 1 Char,Main numbered paragraph Char,RM Char"/>
    <w:basedOn w:val="DefaultParagraphFont"/>
    <w:link w:val="ListParagraph"/>
    <w:uiPriority w:val="34"/>
    <w:qFormat/>
    <w:locked/>
    <w:rsid w:val="0077462E"/>
  </w:style>
  <w:style w:type="paragraph" w:styleId="FootnoteText">
    <w:name w:val="footnote text"/>
    <w:basedOn w:val="Normal"/>
    <w:link w:val="FootnoteTextChar"/>
    <w:uiPriority w:val="99"/>
    <w:semiHidden/>
    <w:unhideWhenUsed/>
    <w:rsid w:val="007746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6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46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F02"/>
  </w:style>
  <w:style w:type="paragraph" w:styleId="Footer">
    <w:name w:val="footer"/>
    <w:basedOn w:val="Normal"/>
    <w:link w:val="FooterChar"/>
    <w:uiPriority w:val="99"/>
    <w:unhideWhenUsed/>
    <w:rsid w:val="00D0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F02"/>
  </w:style>
  <w:style w:type="character" w:styleId="CommentReference">
    <w:name w:val="annotation reference"/>
    <w:basedOn w:val="DefaultParagraphFont"/>
    <w:uiPriority w:val="99"/>
    <w:semiHidden/>
    <w:unhideWhenUsed/>
    <w:rsid w:val="00852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8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8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8B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65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17206BB-BBA9-4BED-8D8E-2FE1C84F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1177</Words>
  <Characters>6474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De Sa</dc:creator>
  <cp:keywords/>
  <dc:description/>
  <cp:lastModifiedBy>RANDRIAMBOLOLONA</cp:lastModifiedBy>
  <cp:revision>2</cp:revision>
  <dcterms:created xsi:type="dcterms:W3CDTF">2025-11-14T13:11:00Z</dcterms:created>
  <dcterms:modified xsi:type="dcterms:W3CDTF">2025-11-14T13:11:00Z</dcterms:modified>
</cp:coreProperties>
</file>